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top w:color="00000A" w:space="0" w:sz="4" w:val="single"/>
          <w:left w:color="00000A" w:space="0" w:sz="4" w:val="single"/>
          <w:bottom w:color="00000A" w:space="0" w:sz="4" w:val="single"/>
          <w:right w:color="00000A" w:space="0" w:sz="4" w:val="single"/>
        </w:tblBorders>
        <w:jc w:val="left"/>
        <w:tblInd w:type="dxa" w:w="-108"/>
      </w:tblPr>
      <w:tblGrid>
        <w:gridCol w:w="10606"/>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10606"/>
            <w:tcMar>
              <w:top w:type="dxa" w:w="0"/>
              <w:left w:type="dxa" w:w="108"/>
              <w:bottom w:type="dxa" w:w="0"/>
              <w:right w:type="dxa" w:w="108"/>
            </w:tcMar>
          </w:tcPr>
          <w:p>
            <w:pPr>
              <w:pStyle w:val="style0"/>
              <w:jc w:val="center"/>
              <w:spacing w:after="0" w:before="0" w:line="100" w:lineRule="atLeast"/>
            </w:pPr>
            <w:r>
              <w:rPr>
                <w:sz w:val="20"/>
                <w:b/>
                <w:szCs w:val="20"/>
                <w:rFonts w:cs="Times New Roman" w:eastAsia="Times New Roman"/>
                <w:lang w:eastAsia="es-ES"/>
              </w:rPr>
              <w:t>DIFERENCIAS ENTRE EL PENSAMIENTO MEDIEVAL Y EL GRIEGO</w:t>
            </w:r>
          </w:p>
        </w:tc>
      </w:tr>
    </w:tbl>
    <w:p>
      <w:pPr>
        <w:pStyle w:val="style0"/>
        <w:jc w:val="both"/>
      </w:pPr>
      <w:r>
        <w:rPr>
          <w:b/>
        </w:rPr>
      </w:r>
    </w:p>
    <w:p>
      <w:pPr>
        <w:pStyle w:val="style23"/>
        <w:jc w:val="both"/>
        <w:tabs>
          <w:tab w:leader="none" w:pos="708" w:val="left"/>
          <w:tab w:leader="none" w:pos="4252" w:val="center"/>
          <w:tab w:leader="none" w:pos="8504" w:val="right"/>
        </w:tabs>
      </w:pPr>
      <w:r>
        <w:rPr/>
        <w:t>Como se ha visto, Tomás de Aquino recoge numerosos electos de la filosofía aristotélica. Sin embargo, sus pensamientos respectivos no pueden asimilarse totalmente, puesto que existen una serie de diferencias insalvables entre la forma griega y la cristiana de entender la realidad. Éstas, principalmente, son las siguientes:</w:t>
      </w:r>
    </w:p>
    <w:p>
      <w:pPr>
        <w:pStyle w:val="style0"/>
        <w:jc w:val="both"/>
      </w:pPr>
      <w:r>
        <w:rPr/>
        <w:t xml:space="preserve">1. </w:t>
      </w:r>
      <w:r>
        <w:rPr>
          <w:i/>
        </w:rPr>
        <w:t>La concepción de la verdad</w:t>
      </w:r>
      <w:r>
        <w:rPr/>
        <w:t xml:space="preserve">: para un griego el camino a la verdad pasa por el </w:t>
      </w:r>
      <w:r>
        <w:rPr>
          <w:i/>
        </w:rPr>
        <w:t>lógos</w:t>
      </w:r>
      <w:r>
        <w:rPr/>
        <w:t xml:space="preserve">, la razón, que está íntimamente anclada en la experiencia y en el diálogo con otros en el que se corrigen las apreciaciones limitadas de cada uno para llegar a una perspectiva más amplia de las cosas. Para el cristiano, sin embargo, ese </w:t>
      </w:r>
      <w:r>
        <w:rPr>
          <w:i/>
        </w:rPr>
        <w:t>lógos</w:t>
      </w:r>
      <w:r>
        <w:rPr/>
        <w:t xml:space="preserve"> (que también significa “palabra” o “discurso”) pasa a ser el discurso revelado que debe ser aceptado sin más, por fe. La fuente de la verdad última es, por tanto, un texto (la Escritura), cuya interpretación válida es dejada en manos de una institución, la Iglesia (algo que no existía en el mundo griego). La verdad pasa, pues, a ser un asunto de confianza ciega; no se trata ya del conocimiento frente a la ignorancia, sino de la fidelidad frente a la infidelidad. </w:t>
      </w:r>
    </w:p>
    <w:p>
      <w:pPr>
        <w:pStyle w:val="style0"/>
        <w:jc w:val="both"/>
      </w:pPr>
      <w:r>
        <w:rPr/>
        <w:t xml:space="preserve">2. </w:t>
      </w:r>
      <w:r>
        <w:rPr>
          <w:i/>
        </w:rPr>
        <w:t>La concepción de Dios</w:t>
      </w:r>
      <w:r>
        <w:rPr/>
        <w:t xml:space="preserve">: la idea general que se tiene de Dios y el papel que juega éste en los distintos sistemas filosóficos son muy diferentes. En la filosofía griega la teología se alcanza al final, es un punto de llegada al que se llega como consecuencia de conceptos anteriores. Ni el Demiurgo platónico ni el </w:t>
      </w:r>
      <w:r>
        <w:rPr>
          <w:i/>
        </w:rPr>
        <w:t>theós</w:t>
      </w:r>
      <w:r>
        <w:rPr/>
        <w:t xml:space="preserve"> (dios) aristotélico son dioses antropomórficos y personales, ni han creado el mundo, ni son infinitos y todopoderosos, ni se involucran en los asuntos humanos; el Dios cristiano, por el contrario, reúne todas estas características.    </w:t>
      </w:r>
    </w:p>
    <w:p>
      <w:pPr>
        <w:pStyle w:val="style23"/>
        <w:jc w:val="both"/>
        <w:tabs>
          <w:tab w:leader="none" w:pos="708" w:val="left"/>
          <w:tab w:leader="none" w:pos="4252" w:val="center"/>
          <w:tab w:leader="none" w:pos="8504" w:val="right"/>
        </w:tabs>
      </w:pPr>
      <w:r>
        <w:rPr/>
        <w:t xml:space="preserve">3. </w:t>
      </w:r>
      <w:r>
        <w:rPr>
          <w:i/>
        </w:rPr>
        <w:t>La concepción de la realidad</w:t>
      </w:r>
      <w:r>
        <w:rPr/>
        <w:t xml:space="preserve">: lo que sorprende al griego e impulsa su reflexión filosófica es que las cosas, a pesar de los cambios continuos que sufren, sigan siendo lo mismo; de ahí la búsqueda del </w:t>
      </w:r>
      <w:r>
        <w:rPr>
          <w:i/>
        </w:rPr>
        <w:t>arché</w:t>
      </w:r>
      <w:r>
        <w:rPr/>
        <w:t xml:space="preserve"> de los presocráticos, de las ideas platónicas, o de la esencia o forma aristotélica. Lo que es tema central de la filosofía cristiana es más bien el problema de la existencia, que las cosas puedan empezar a ser o dejar de ser (problema claramente ligado a la concepción creacionista del mundo). Si la contraposición fundamental que encontramos en el pensamiento griego es la contraposición </w:t>
      </w:r>
      <w:r>
        <w:rPr>
          <w:i/>
        </w:rPr>
        <w:t>ser-apariencia</w:t>
      </w:r>
      <w:r>
        <w:rPr/>
        <w:t xml:space="preserve">, la contraposición central del pensamiento cristiano sería la de </w:t>
      </w:r>
      <w:r>
        <w:rPr>
          <w:i/>
        </w:rPr>
        <w:t>ser-no ser</w:t>
      </w:r>
      <w:r>
        <w:rPr/>
        <w:t xml:space="preserve">. </w:t>
      </w:r>
    </w:p>
    <w:p>
      <w:pPr>
        <w:pStyle w:val="style0"/>
        <w:jc w:val="both"/>
      </w:pPr>
      <w:r>
        <w:rPr/>
        <w:t xml:space="preserve">4. </w:t>
      </w:r>
      <w:r>
        <w:rPr>
          <w:i/>
        </w:rPr>
        <w:t>La concepción del hombre</w:t>
      </w:r>
      <w:r>
        <w:rPr/>
        <w:t xml:space="preserve">: si para los griegos el hombre es un ser natural más, perteneciente a la </w:t>
      </w:r>
      <w:r>
        <w:rPr>
          <w:i/>
        </w:rPr>
        <w:t>phýsis</w:t>
      </w:r>
      <w:r>
        <w:rPr/>
        <w:t xml:space="preserve"> y sujeto a sus normas, para el cristianismo el hombre es el hijo de Dios, creado a su imagen y semejanza, y por tanto perteneciente sólo en parte a este mundo, y en parte a otro (el “más allá”, la “otra vida”), en el que cumplir su auténtica naturaleza espiritual. El hombre no es un ser más: es la finalidad de la creación, de un relato que le tiene a él como protagonista.</w:t>
      </w:r>
    </w:p>
    <w:p>
      <w:pPr>
        <w:pStyle w:val="style0"/>
        <w:jc w:val="both"/>
      </w:pPr>
      <w:r>
        <w:rPr/>
        <w:t xml:space="preserve">5. </w:t>
      </w:r>
      <w:r>
        <w:rPr>
          <w:i/>
        </w:rPr>
        <w:t>La concepción de la comunidad</w:t>
      </w:r>
      <w:r>
        <w:rPr/>
        <w:t xml:space="preserve">: Platón y Aristóteles coinciden con Tomás de Aquino en considerar que la sociedad es de origen natural; en ello discrepan con los sofistas, que afirmaron que la sociedad es un producto artificial, el resultado de convenciones humanas. En cualquier caso, en lo que los griegos, en conjunto, no estarían de acuerdo con el mundo cristiano, es en el papel concedido a lo público y a lo privado dentro de la sociedad. Para los primeros lo público, lo relativo a la </w:t>
      </w:r>
      <w:r>
        <w:rPr>
          <w:i/>
        </w:rPr>
        <w:t>pólis</w:t>
      </w:r>
      <w:r>
        <w:rPr/>
        <w:t>, era la dimensión fundamental de la existencia; sólo en ella se puede ser libre, cuando se está con otros seres humanos y se coopera con un determinado fin político. Para el cristianismo, en cambio, lo privado a veces está por encima. Lo principal es la relación y la obediencia a Dios, que es siempre algo individual o eclesial; la moral estará por encima del derecho, incluso. Por otro lado, la libertad deja de ser algo de lo que sólo tiene sentido hablar en relación a los otros, a la comunidad, para ser el simple libre albedrío: el hecho de que otros no me pueden obligar a querer lo que no quiero, aunque me puedan obligar a hacerlo (la condición de la salvación del alma, aunque perezca el cuerpo).</w:t>
      </w:r>
    </w:p>
    <w:p>
      <w:pPr>
        <w:pStyle w:val="style0"/>
        <w:jc w:val="center"/>
        <w:pBdr>
          <w:top w:color="00000A" w:space="0" w:sz="4" w:val="single"/>
          <w:left w:color="00000A" w:space="0" w:sz="4" w:val="single"/>
          <w:bottom w:color="00000A" w:space="0" w:sz="4" w:val="single"/>
          <w:right w:color="00000A" w:space="0" w:sz="4" w:val="single"/>
        </w:pBdr>
      </w:pPr>
      <w:r>
        <w:rPr>
          <w:b/>
        </w:rPr>
        <w:t>MOMENTOS CLAVES PARA REALIZAR EL COMENTARIO DE TOMÁS DE AQUINO</w:t>
      </w:r>
    </w:p>
    <w:p>
      <w:pPr>
        <w:pStyle w:val="style0"/>
        <w:numPr>
          <w:ilvl w:val="0"/>
          <w:numId w:val="1"/>
        </w:numPr>
        <w:jc w:val="both"/>
      </w:pPr>
      <w:r>
        <w:rPr/>
        <w:t>Señalar la obra a la que pertenece (</w:t>
      </w:r>
      <w:r>
        <w:rPr>
          <w:i/>
        </w:rPr>
        <w:t>La monarquía</w:t>
      </w:r>
      <w:r>
        <w:rPr/>
        <w:t>) y su contenido (político, pero sin olvidar su condición de hombre religioso).</w:t>
      </w:r>
    </w:p>
    <w:p>
      <w:pPr>
        <w:pStyle w:val="style0"/>
        <w:numPr>
          <w:ilvl w:val="0"/>
          <w:numId w:val="1"/>
        </w:numPr>
        <w:jc w:val="both"/>
      </w:pPr>
      <w:r>
        <w:rPr/>
        <w:t xml:space="preserve">Recordar el papel que desempeña Tomás de Aquino en la historia de la filosofía: es la culminación de la </w:t>
      </w:r>
      <w:r>
        <w:rPr>
          <w:b/>
        </w:rPr>
        <w:t>Escolática</w:t>
      </w:r>
      <w:r>
        <w:rPr/>
        <w:t xml:space="preserve"> (intento por conciliar fe, religión, y razón, filosofía: comprensión racional de la fe cristiana con la ayuda del aparato conceptual de la filosofía griega).</w:t>
      </w:r>
    </w:p>
    <w:p>
      <w:pPr>
        <w:pStyle w:val="style0"/>
        <w:numPr>
          <w:ilvl w:val="0"/>
          <w:numId w:val="1"/>
        </w:numPr>
        <w:jc w:val="both"/>
      </w:pPr>
      <w:r>
        <w:rPr/>
        <w:t>Comentar el texto de Tomás de Aquino implica necesariamente hablar de Aristóteles.</w:t>
      </w:r>
    </w:p>
    <w:p>
      <w:pPr>
        <w:pStyle w:val="style0"/>
        <w:numPr>
          <w:ilvl w:val="0"/>
          <w:numId w:val="1"/>
        </w:numPr>
        <w:jc w:val="both"/>
      </w:pPr>
      <w:r>
        <w:rPr/>
        <w:t xml:space="preserve">El hombre como </w:t>
      </w:r>
      <w:r>
        <w:rPr>
          <w:b/>
        </w:rPr>
        <w:t>animal político</w:t>
      </w:r>
      <w:r>
        <w:rPr/>
        <w:t xml:space="preserve"> (Aristóteles) o </w:t>
      </w:r>
      <w:r>
        <w:rPr>
          <w:b/>
        </w:rPr>
        <w:t>social</w:t>
      </w:r>
      <w:r>
        <w:rPr/>
        <w:t xml:space="preserve"> (Tomás de Aquino) por naturaleza: para el griego el </w:t>
      </w:r>
      <w:r>
        <w:rPr>
          <w:i/>
        </w:rPr>
        <w:t>logos</w:t>
      </w:r>
      <w:r>
        <w:rPr/>
        <w:t xml:space="preserve"> -palabra, razón- es lo que nos permite diferenciar lo justo de lo injusto, lo bueno de lo malo; para Tomás de Aquino esta condición social proviene de las manos de Dios (por lo tanto vivir en sociedad no es fruto del pecado -San Agustín-, sino por obra divina). Matización: Aristóteles no habla de animal social, sino político, porque existen animales sociales como las abejas.</w:t>
      </w:r>
    </w:p>
    <w:p>
      <w:pPr>
        <w:pStyle w:val="style0"/>
        <w:numPr>
          <w:ilvl w:val="0"/>
          <w:numId w:val="1"/>
        </w:numPr>
        <w:jc w:val="both"/>
      </w:pPr>
      <w:r>
        <w:rPr/>
        <w:t xml:space="preserve">Tres razones principales para vivir en sociedad según el autor de </w:t>
      </w:r>
      <w:r>
        <w:rPr>
          <w:i/>
        </w:rPr>
        <w:t>La Monarquía</w:t>
      </w:r>
      <w:r>
        <w:rPr/>
        <w:t>:</w:t>
      </w:r>
    </w:p>
    <w:p>
      <w:pPr>
        <w:pStyle w:val="style0"/>
        <w:numPr>
          <w:ilvl w:val="1"/>
          <w:numId w:val="1"/>
        </w:numPr>
        <w:jc w:val="both"/>
      </w:pPr>
      <w:r>
        <w:rPr/>
        <w:t>No se basta a sí mismo para satisfacer las necesidades de la vida (mito de Prometeo: el hombre se organiza de una forma racional mediante la política puesto que es un animal con múltiples carencias –no tiene garras, colmillos, no es especialmente rápido…- pero gracias a la razón suple estas deficiencias:).</w:t>
      </w:r>
    </w:p>
    <w:p>
      <w:pPr>
        <w:pStyle w:val="style0"/>
        <w:numPr>
          <w:ilvl w:val="1"/>
          <w:numId w:val="1"/>
        </w:numPr>
        <w:jc w:val="both"/>
      </w:pPr>
      <w:r>
        <w:rPr/>
        <w:t>Precisa  de la ayuda de los otros para conocer lo que necesita (sentido de la comunidad tanto griego -polis- como cristiano -hijos de Dios-).</w:t>
      </w:r>
    </w:p>
    <w:p>
      <w:pPr>
        <w:pStyle w:val="style0"/>
        <w:numPr>
          <w:ilvl w:val="1"/>
          <w:numId w:val="1"/>
        </w:numPr>
        <w:jc w:val="both"/>
      </w:pPr>
      <w:r>
        <w:rPr/>
        <w:t>Es esencialmente comunicativo (</w:t>
      </w:r>
      <w:r>
        <w:rPr>
          <w:i/>
        </w:rPr>
        <w:t>logos</w:t>
      </w:r>
      <w:r>
        <w:rPr/>
        <w:t xml:space="preserve"> de Aristóteles: sirve para discernir lo justo de lo injusto, anticiparse al futuro…).</w:t>
      </w:r>
    </w:p>
    <w:p>
      <w:pPr>
        <w:pStyle w:val="style0"/>
        <w:numPr>
          <w:ilvl w:val="0"/>
          <w:numId w:val="1"/>
        </w:numPr>
        <w:jc w:val="both"/>
      </w:pPr>
      <w:r>
        <w:rPr/>
        <w:t>En el pensamiento griego Dios sólo aparece como resultado final (motor inmóvil en Aristóteles); en el cristianismo Dios es el garante del sistema desde el inicio. Esto implica un desdoblamiento de poderes: el terrenal y el divino, lógicamente la política y el derecho deben someterse a los principios -moral- de la Iglesia.</w:t>
      </w:r>
    </w:p>
    <w:p>
      <w:pPr>
        <w:pStyle w:val="style0"/>
        <w:numPr>
          <w:ilvl w:val="0"/>
          <w:numId w:val="1"/>
        </w:numPr>
        <w:jc w:val="both"/>
      </w:pPr>
      <w:r>
        <w:rPr/>
        <w:t xml:space="preserve">Tomás de Aquino distingue entre la </w:t>
      </w:r>
      <w:r>
        <w:rPr>
          <w:b/>
        </w:rPr>
        <w:t>ley eterna</w:t>
      </w:r>
      <w:r>
        <w:rPr/>
        <w:t xml:space="preserve"> (ley divina que rige todo lo que acontece en el mundo); </w:t>
      </w:r>
      <w:r>
        <w:rPr>
          <w:b/>
        </w:rPr>
        <w:t>ley natural</w:t>
      </w:r>
      <w:r>
        <w:rPr/>
        <w:t xml:space="preserve"> (se identifica con la ley moral que debe cumplir el hombre dentro de su especificidad en la Creación como ser libre: vivir en sociedad, buscar la Verdad, hacernos cargo de nuestros hijos…); y la </w:t>
      </w:r>
      <w:r>
        <w:rPr>
          <w:b/>
        </w:rPr>
        <w:t>ley positiva</w:t>
      </w:r>
      <w:r>
        <w:rPr/>
        <w:t xml:space="preserve"> (que corresponde a la ley civil y que debe completar, sin contradecir, la ley natural).</w:t>
      </w:r>
    </w:p>
    <w:p>
      <w:pPr>
        <w:pStyle w:val="style0"/>
        <w:numPr>
          <w:ilvl w:val="0"/>
          <w:numId w:val="1"/>
        </w:numPr>
        <w:jc w:val="both"/>
      </w:pPr>
      <w:r>
        <w:rPr/>
        <w:t xml:space="preserve">Finalismo o </w:t>
      </w:r>
      <w:r>
        <w:rPr>
          <w:b/>
        </w:rPr>
        <w:t>concepción teleológica</w:t>
      </w:r>
      <w:r>
        <w:rPr/>
        <w:t xml:space="preserve"> en Aristóteles y Tomás de Aquino: todo lo que cambia se mueve con intención de satisfacer algún fin que consiste en alcanzar su propia perfección.</w:t>
      </w:r>
    </w:p>
    <w:p>
      <w:pPr>
        <w:pStyle w:val="style0"/>
        <w:numPr>
          <w:ilvl w:val="0"/>
          <w:numId w:val="1"/>
        </w:numPr>
        <w:jc w:val="both"/>
      </w:pPr>
      <w:r>
        <w:rPr/>
        <w:t>Aristóteles: distinción entre la vida teórica o contemplativa y la vida política o activa; modificada por Tomás de Aquino: el sumo bien el la vida teórica pero entendida como contemplación de Dios, mientras la actividad política (sociedad civil) es un medio que busca paz y consenso para la beatitud eterna.</w:t>
      </w:r>
    </w:p>
    <w:p>
      <w:pPr>
        <w:pStyle w:val="style0"/>
        <w:numPr>
          <w:ilvl w:val="0"/>
          <w:numId w:val="1"/>
        </w:numPr>
        <w:jc w:val="both"/>
      </w:pPr>
      <w:r>
        <w:rPr/>
        <w:t xml:space="preserve">El final que buscamos es la </w:t>
      </w:r>
      <w:r>
        <w:rPr>
          <w:b/>
        </w:rPr>
        <w:t>felicidad</w:t>
      </w:r>
      <w:r>
        <w:rPr/>
        <w:t xml:space="preserve"> (para Tomás de Aquino contemplación beatífica de Dios), la sociedad civil ayuda a prepararnos para ello.</w:t>
      </w:r>
    </w:p>
    <w:p>
      <w:pPr>
        <w:pStyle w:val="style0"/>
        <w:numPr>
          <w:ilvl w:val="0"/>
          <w:numId w:val="1"/>
        </w:numPr>
        <w:jc w:val="both"/>
      </w:pPr>
      <w:r>
        <w:rPr/>
        <w:t>La mejor forma de gobierno es la que vela por el interés común: la que hace posible la vida virtuosa de los ciudadanos. Tomás de Aquino sigue el esquema de Aristóteles y se decanta por la monarquía.</w:t>
      </w:r>
    </w:p>
    <w:p>
      <w:pPr>
        <w:pStyle w:val="style0"/>
        <w:jc w:val="center"/>
      </w:pPr>
      <w:r>
        <w:rPr>
          <w:sz w:val="20"/>
          <w:b/>
          <w:szCs w:val="20"/>
          <w:lang w:val="es-ES"/>
        </w:rPr>
        <w:t>CLASIFICACIÓN ARISTOTÉLICA DE LAS FORMAS DE GOBIERNO</w:t>
      </w:r>
    </w:p>
    <w:tbl>
      <w:tblPr>
        <w:tblBorders>
          <w:top w:color="00000A" w:space="0" w:sz="4" w:val="single"/>
          <w:left w:color="00000A" w:space="0" w:sz="4" w:val="single"/>
          <w:bottom w:color="00000A" w:space="0" w:sz="4" w:val="single"/>
          <w:right w:color="00000A" w:space="0" w:sz="4" w:val="single"/>
        </w:tblBorders>
        <w:jc w:val="center"/>
      </w:tblPr>
      <w:tblGrid>
        <w:gridCol w:w="2052"/>
        <w:gridCol w:w="2266"/>
        <w:gridCol w:w="2162"/>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2052"/>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r>
          </w:p>
        </w:tc>
        <w:tc>
          <w:tcPr>
            <w:tcBorders>
              <w:top w:color="00000A" w:space="0" w:sz="4" w:val="single"/>
              <w:left w:color="00000A" w:space="0" w:sz="4" w:val="single"/>
              <w:bottom w:color="00000A" w:space="0" w:sz="4" w:val="single"/>
              <w:right w:color="00000A" w:space="0" w:sz="4" w:val="single"/>
            </w:tcBorders>
            <w:shd w:fill="auto"/>
            <w:tcW w:type="dxa" w:w="2266"/>
            <w:tcMar>
              <w:top w:type="dxa" w:w="0"/>
              <w:left w:type="dxa" w:w="108"/>
              <w:bottom w:type="dxa" w:w="0"/>
              <w:right w:type="dxa" w:w="108"/>
            </w:tcMar>
          </w:tcPr>
          <w:p>
            <w:pPr>
              <w:pStyle w:val="style0"/>
              <w:jc w:val="center"/>
              <w:spacing w:after="0" w:before="0" w:line="100" w:lineRule="atLeast"/>
            </w:pPr>
            <w:r>
              <w:rPr>
                <w:sz w:val="20"/>
                <w:b/>
                <w:szCs w:val="20"/>
                <w:rFonts w:cs="Times New Roman" w:eastAsia="Times New Roman"/>
                <w:lang w:eastAsia="es-ES" w:val="es-ES"/>
              </w:rPr>
              <w:t>Gobierna en su propio interés (injusto)</w:t>
            </w:r>
          </w:p>
        </w:tc>
        <w:tc>
          <w:tcPr>
            <w:tcBorders>
              <w:top w:color="00000A" w:space="0" w:sz="4" w:val="single"/>
              <w:left w:color="00000A" w:space="0" w:sz="4" w:val="single"/>
              <w:bottom w:color="00000A" w:space="0" w:sz="4" w:val="single"/>
              <w:right w:color="00000A" w:space="0" w:sz="4" w:val="single"/>
            </w:tcBorders>
            <w:shd w:fill="auto"/>
            <w:tcW w:type="dxa" w:w="2162"/>
            <w:tcMar>
              <w:top w:type="dxa" w:w="0"/>
              <w:left w:type="dxa" w:w="108"/>
              <w:bottom w:type="dxa" w:w="0"/>
              <w:right w:type="dxa" w:w="108"/>
            </w:tcMar>
          </w:tcPr>
          <w:p>
            <w:pPr>
              <w:pStyle w:val="style0"/>
              <w:jc w:val="center"/>
              <w:spacing w:after="0" w:before="0" w:line="100" w:lineRule="atLeast"/>
            </w:pPr>
            <w:r>
              <w:rPr>
                <w:sz w:val="20"/>
                <w:b/>
                <w:szCs w:val="20"/>
                <w:rFonts w:cs="Times New Roman" w:eastAsia="Times New Roman"/>
                <w:lang w:eastAsia="es-ES" w:val="es-ES"/>
              </w:rPr>
              <w:t>Gobierna por el bien de todos (justo)</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052"/>
            <w:tcMar>
              <w:top w:type="dxa" w:w="0"/>
              <w:left w:type="dxa" w:w="108"/>
              <w:bottom w:type="dxa" w:w="0"/>
              <w:right w:type="dxa" w:w="108"/>
            </w:tcMar>
          </w:tcPr>
          <w:p>
            <w:pPr>
              <w:pStyle w:val="style0"/>
              <w:jc w:val="center"/>
              <w:spacing w:after="0" w:before="0" w:line="100" w:lineRule="atLeast"/>
            </w:pPr>
            <w:r>
              <w:rPr>
                <w:sz w:val="20"/>
                <w:b/>
                <w:szCs w:val="20"/>
                <w:rFonts w:cs="Times New Roman" w:eastAsia="Times New Roman"/>
                <w:lang w:eastAsia="es-ES" w:val="es-ES"/>
              </w:rPr>
              <w:t>Gobierna uno</w:t>
            </w:r>
          </w:p>
        </w:tc>
        <w:tc>
          <w:tcPr>
            <w:tcBorders>
              <w:top w:color="00000A" w:space="0" w:sz="4" w:val="single"/>
              <w:left w:color="00000A" w:space="0" w:sz="4" w:val="single"/>
              <w:bottom w:color="00000A" w:space="0" w:sz="4" w:val="single"/>
              <w:right w:color="00000A" w:space="0" w:sz="4" w:val="single"/>
            </w:tcBorders>
            <w:shd w:fill="auto"/>
            <w:tcW w:type="dxa" w:w="2266"/>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t>Tiranía</w:t>
            </w:r>
          </w:p>
        </w:tc>
        <w:tc>
          <w:tcPr>
            <w:tcBorders>
              <w:top w:color="00000A" w:space="0" w:sz="4" w:val="single"/>
              <w:left w:color="00000A" w:space="0" w:sz="4" w:val="single"/>
              <w:bottom w:color="00000A" w:space="0" w:sz="4" w:val="single"/>
              <w:right w:color="00000A" w:space="0" w:sz="4" w:val="single"/>
            </w:tcBorders>
            <w:shd w:fill="auto"/>
            <w:tcW w:type="dxa" w:w="2162"/>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t>Monarquía</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052"/>
            <w:tcMar>
              <w:top w:type="dxa" w:w="0"/>
              <w:left w:type="dxa" w:w="108"/>
              <w:bottom w:type="dxa" w:w="0"/>
              <w:right w:type="dxa" w:w="108"/>
            </w:tcMar>
          </w:tcPr>
          <w:p>
            <w:pPr>
              <w:pStyle w:val="style0"/>
              <w:jc w:val="center"/>
              <w:spacing w:after="0" w:before="0" w:line="100" w:lineRule="atLeast"/>
            </w:pPr>
            <w:r>
              <w:rPr>
                <w:sz w:val="20"/>
                <w:b/>
                <w:szCs w:val="20"/>
                <w:rFonts w:cs="Times New Roman" w:eastAsia="Times New Roman"/>
                <w:lang w:eastAsia="es-ES" w:val="es-ES"/>
              </w:rPr>
              <w:t>Gobiernan varios</w:t>
            </w:r>
          </w:p>
        </w:tc>
        <w:tc>
          <w:tcPr>
            <w:tcBorders>
              <w:top w:color="00000A" w:space="0" w:sz="4" w:val="single"/>
              <w:left w:color="00000A" w:space="0" w:sz="4" w:val="single"/>
              <w:bottom w:color="00000A" w:space="0" w:sz="4" w:val="single"/>
              <w:right w:color="00000A" w:space="0" w:sz="4" w:val="single"/>
            </w:tcBorders>
            <w:shd w:fill="auto"/>
            <w:tcW w:type="dxa" w:w="2266"/>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t>Oligarquía</w:t>
            </w:r>
          </w:p>
        </w:tc>
        <w:tc>
          <w:tcPr>
            <w:tcBorders>
              <w:top w:color="00000A" w:space="0" w:sz="4" w:val="single"/>
              <w:left w:color="00000A" w:space="0" w:sz="4" w:val="single"/>
              <w:bottom w:color="00000A" w:space="0" w:sz="4" w:val="single"/>
              <w:right w:color="00000A" w:space="0" w:sz="4" w:val="single"/>
            </w:tcBorders>
            <w:shd w:fill="auto"/>
            <w:tcW w:type="dxa" w:w="2162"/>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t>Aristocracia</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052"/>
            <w:tcMar>
              <w:top w:type="dxa" w:w="0"/>
              <w:left w:type="dxa" w:w="108"/>
              <w:bottom w:type="dxa" w:w="0"/>
              <w:right w:type="dxa" w:w="108"/>
            </w:tcMar>
          </w:tcPr>
          <w:p>
            <w:pPr>
              <w:pStyle w:val="style0"/>
              <w:jc w:val="center"/>
              <w:spacing w:after="0" w:before="0" w:line="100" w:lineRule="atLeast"/>
            </w:pPr>
            <w:r>
              <w:rPr>
                <w:sz w:val="20"/>
                <w:b/>
                <w:szCs w:val="20"/>
                <w:rFonts w:cs="Times New Roman" w:eastAsia="Times New Roman"/>
                <w:lang w:eastAsia="es-ES" w:val="es-ES"/>
              </w:rPr>
              <w:t>Gobiernan todos</w:t>
            </w:r>
          </w:p>
        </w:tc>
        <w:tc>
          <w:tcPr>
            <w:tcBorders>
              <w:top w:color="00000A" w:space="0" w:sz="4" w:val="single"/>
              <w:left w:color="00000A" w:space="0" w:sz="4" w:val="single"/>
              <w:bottom w:color="00000A" w:space="0" w:sz="4" w:val="single"/>
              <w:right w:color="00000A" w:space="0" w:sz="4" w:val="single"/>
            </w:tcBorders>
            <w:shd w:fill="auto"/>
            <w:tcW w:type="dxa" w:w="2266"/>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t>Democracia (demagogia)</w:t>
            </w:r>
          </w:p>
        </w:tc>
        <w:tc>
          <w:tcPr>
            <w:tcBorders>
              <w:top w:color="00000A" w:space="0" w:sz="4" w:val="single"/>
              <w:left w:color="00000A" w:space="0" w:sz="4" w:val="single"/>
              <w:bottom w:color="00000A" w:space="0" w:sz="4" w:val="single"/>
              <w:right w:color="00000A" w:space="0" w:sz="4" w:val="single"/>
            </w:tcBorders>
            <w:shd w:fill="auto"/>
            <w:tcW w:type="dxa" w:w="2162"/>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lang w:eastAsia="es-ES" w:val="es-ES"/>
              </w:rPr>
              <w:t>República</w:t>
            </w:r>
          </w:p>
        </w:tc>
      </w:tr>
    </w:tbl>
    <w:p>
      <w:pPr>
        <w:pStyle w:val="style0"/>
        <w:jc w:val="center"/>
      </w:pPr>
      <w:r>
        <w:rPr>
          <w:lang w:val="es-ES"/>
        </w:rPr>
      </w:r>
    </w:p>
    <w:p>
      <w:pPr>
        <w:pStyle w:val="style0"/>
        <w:numPr>
          <w:ilvl w:val="0"/>
          <w:numId w:val="1"/>
        </w:numPr>
        <w:jc w:val="both"/>
      </w:pPr>
      <w:r>
        <w:rPr>
          <w:lang w:val="es-ES"/>
        </w:rPr>
        <w:t>Explicar las razones por las que el Aquinate se decanta por la monarquía (gobierno de uno sólo que busca el bien común):</w:t>
      </w:r>
    </w:p>
    <w:p>
      <w:pPr>
        <w:pStyle w:val="style0"/>
        <w:numPr>
          <w:ilvl w:val="1"/>
          <w:numId w:val="1"/>
        </w:numPr>
        <w:jc w:val="both"/>
      </w:pPr>
      <w:r>
        <w:rPr>
          <w:lang w:val="es-ES"/>
        </w:rPr>
        <w:t>Es la forma que más se asemeja al orden divino: en una religión monoteísta como el cristianismo es lógico que el orden terrenal copie esta imagen (un Dios = un rey). El gobierno de muchos parece defender el politeísmo.</w:t>
      </w:r>
    </w:p>
    <w:p>
      <w:pPr>
        <w:pStyle w:val="style0"/>
        <w:numPr>
          <w:ilvl w:val="1"/>
          <w:numId w:val="1"/>
        </w:numPr>
        <w:jc w:val="both"/>
      </w:pPr>
      <w:r>
        <w:rPr>
          <w:lang w:val="es-ES"/>
        </w:rPr>
        <w:t>Existen numerosos ejemplos en las Sagradas Escrituras y la filosofía que nos sirven para esta defensa: el pastor que guía al rebaño (Biblia), el capitán que gobierna la nave (Platón, Aristóteles…).</w:t>
      </w:r>
    </w:p>
    <w:p>
      <w:pPr>
        <w:pStyle w:val="style0"/>
        <w:numPr>
          <w:ilvl w:val="0"/>
          <w:numId w:val="1"/>
        </w:numPr>
        <w:jc w:val="both"/>
      </w:pPr>
      <w:r>
        <w:rPr>
          <w:lang w:val="es-ES"/>
        </w:rPr>
        <w:t>Si son muchos los que pretenden mandar puede que se rompa la unión y armonía que debe presidir en un estado.</w:t>
      </w:r>
    </w:p>
    <w:p>
      <w:pPr>
        <w:pStyle w:val="style0"/>
        <w:numPr>
          <w:ilvl w:val="0"/>
          <w:numId w:val="1"/>
        </w:numPr>
        <w:jc w:val="both"/>
      </w:pPr>
      <w:r>
        <w:rPr>
          <w:lang w:val="es-ES"/>
        </w:rPr>
        <w:t xml:space="preserve">Cuestión fundamental: el cristianismo como religión ecuménica (universal) puede ser entendida como un antecedente de los </w:t>
      </w:r>
      <w:r>
        <w:rPr>
          <w:b/>
          <w:lang w:val="es-ES"/>
        </w:rPr>
        <w:t>DD.HH.</w:t>
      </w:r>
    </w:p>
    <w:p>
      <w:pPr>
        <w:pStyle w:val="style0"/>
        <w:numPr>
          <w:ilvl w:val="0"/>
          <w:numId w:val="1"/>
        </w:numPr>
        <w:jc w:val="both"/>
      </w:pPr>
      <w:r>
        <w:rPr>
          <w:lang w:val="es-ES"/>
        </w:rPr>
        <w:t>Ideas secundarias de las que hablar: conciliación entre fe razón, saberes autónomos pero con temas en común. Fe es criterio extrínseco y negativo de la razón (ninguna conclusión filosófica puede contradecir los textos sagrados); tipos de demostración de la existencia de Dios: a priori (desechada por Tomás de Aquino) y a posteriori (las cinco vías, con sus cuatro pasos).</w:t>
      </w:r>
    </w:p>
    <w:sectPr>
      <w:formProt w:val="off"/>
      <w:pgSz w:h="16837" w:w="11905"/>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rPr>
        <w:b/>
      </w:rPr>
    </w:lvl>
    <w:lvl w:ilvl="1">
      <w:start w:val="1"/>
      <w:numFmt w:val="bullet"/>
      <w:lvlJc w:val="left"/>
      <w:lvlText w:val=""/>
      <w:pPr>
        <w:ind w:hanging="360" w:left="1440"/>
      </w:pPr>
      <w:rPr>
        <w:rFonts w:ascii="Symbol" w:cs="Symbol" w:hAnsi="Symbol" w:hint="default"/>
        <w:b/>
      </w:r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terminado"/>
    <w:next w:val="style0"/>
    <w:pPr>
      <w:jc w:val="left"/>
      <w:widowControl/>
      <w:tabs>
        <w:tab w:leader="none" w:pos="709" w:val="left"/>
      </w:tabs>
      <w:suppressAutoHyphens w:val="true"/>
      <w:spacing w:after="0" w:before="0" w:line="100" w:lineRule="atLeast"/>
    </w:pPr>
    <w:rPr>
      <w:color w:val="auto"/>
      <w:sz w:val="24"/>
      <w:szCs w:val="24"/>
      <w:rFonts w:ascii="Times New Roman" w:cs="Times New Roman" w:eastAsia="Times New Roman" w:hAnsi="Times New Roman"/>
      <w:lang w:bidi="ar-SA" w:eastAsia="es-ES" w:val="es-ES"/>
    </w:rPr>
  </w:style>
  <w:style w:styleId="style15" w:type="character">
    <w:name w:val="ListLabel 1"/>
    <w:next w:val="style15"/>
    <w:rPr>
      <w:b/>
    </w:rPr>
  </w:style>
  <w:style w:styleId="style16" w:type="character">
    <w:name w:val="Default Paragraph Font"/>
    <w:next w:val="style16"/>
    <w:rPr/>
  </w:style>
  <w:style w:styleId="style17" w:type="character">
    <w:name w:val="Encabezado Car"/>
    <w:basedOn w:val="style16"/>
    <w:next w:val="style17"/>
    <w:rPr/>
  </w:style>
  <w:style w:styleId="style18" w:type="paragraph">
    <w:name w:val="Encabezado"/>
    <w:basedOn w:val="style0"/>
    <w:next w:val="style19"/>
    <w:pPr>
      <w:keepNext/>
      <w:spacing w:after="120" w:before="240"/>
    </w:pPr>
    <w:rPr>
      <w:sz w:val="28"/>
      <w:szCs w:val="28"/>
      <w:rFonts w:ascii="Liberation Sans" w:cs="Bitstream Vera Sans" w:eastAsia="Bitstream Vera Sans" w:hAnsi="Liberation Sans"/>
    </w:rPr>
  </w:style>
  <w:style w:styleId="style19" w:type="paragraph">
    <w:name w:val="Cuerpo de texto"/>
    <w:basedOn w:val="style0"/>
    <w:next w:val="style19"/>
    <w:pPr>
      <w:spacing w:after="120" w:before="0"/>
    </w:pPr>
    <w:rPr/>
  </w:style>
  <w:style w:styleId="style20" w:type="paragraph">
    <w:name w:val="Lista"/>
    <w:basedOn w:val="style19"/>
    <w:next w:val="style20"/>
    <w:pPr/>
    <w:rPr/>
  </w:style>
  <w:style w:styleId="style21" w:type="paragraph">
    <w:name w:val="Etiqueta"/>
    <w:basedOn w:val="style0"/>
    <w:next w:val="style21"/>
    <w:pPr>
      <w:suppressLineNumbers/>
      <w:spacing w:after="120" w:before="120"/>
    </w:pPr>
    <w:rPr>
      <w:sz w:val="24"/>
      <w:i/>
      <w:szCs w:val="24"/>
      <w:iCs/>
    </w:rPr>
  </w:style>
  <w:style w:styleId="style22" w:type="paragraph">
    <w:name w:val="Índice"/>
    <w:basedOn w:val="style0"/>
    <w:next w:val="style22"/>
    <w:pPr>
      <w:suppressLineNumbers/>
    </w:pPr>
    <w:rPr/>
  </w:style>
  <w:style w:styleId="style23" w:type="paragraph">
    <w:name w:val="Encabezamiento"/>
    <w:basedOn w:val="style0"/>
    <w:next w:val="style23"/>
    <w:pPr>
      <w:tabs>
        <w:tab w:leader="none" w:pos="4252" w:val="center"/>
        <w:tab w:leader="none" w:pos="8504"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2010-11-14T20:02:00.00Z</dcterms:created>
  <dc:creator>FONSON</dc:creator>
  <cp:lastModifiedBy>FONSON</cp:lastModifiedBy>
  <dcterms:modified xsi:type="dcterms:W3CDTF">2010-11-14T20:08:00.00Z</dcterms:modified>
  <cp:revision>1</cp:revision>
</cp:coreProperties>
</file>